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BE4AC">
      <w:pPr>
        <w:tabs>
          <w:tab w:val="left" w:pos="8364"/>
        </w:tabs>
        <w:spacing w:line="360" w:lineRule="auto"/>
        <w:jc w:val="center"/>
        <w:rPr>
          <w:rFonts w:hint="eastAsia" w:ascii="仿宋" w:hAnsi="仿宋" w:eastAsia="仿宋" w:cs="Times New Roman"/>
          <w:snapToGrid w:val="0"/>
          <w:kern w:val="0"/>
          <w:sz w:val="30"/>
          <w:szCs w:val="30"/>
        </w:rPr>
      </w:pPr>
      <w:bookmarkStart w:id="0" w:name="_GoBack"/>
      <w:r>
        <w:rPr>
          <w:rFonts w:hint="eastAsia" w:ascii="仿宋" w:hAnsi="仿宋" w:eastAsia="仿宋" w:cs="Times New Roman"/>
          <w:snapToGrid w:val="0"/>
          <w:kern w:val="0"/>
          <w:sz w:val="30"/>
          <w:szCs w:val="30"/>
        </w:rPr>
        <w:t>中国体育彩票</w:t>
      </w:r>
      <w:r>
        <w:rPr>
          <w:rFonts w:ascii="仿宋" w:hAnsi="仿宋" w:eastAsia="仿宋" w:cs="Times New Roman"/>
          <w:snapToGrid w:val="0"/>
          <w:kern w:val="0"/>
          <w:sz w:val="30"/>
          <w:szCs w:val="30"/>
        </w:rPr>
        <w:t>7星彩</w:t>
      </w:r>
      <w:r>
        <w:rPr>
          <w:rFonts w:hint="eastAsia" w:ascii="仿宋" w:hAnsi="仿宋" w:eastAsia="仿宋" w:cs="Times New Roman"/>
          <w:snapToGrid w:val="0"/>
          <w:kern w:val="0"/>
          <w:sz w:val="30"/>
          <w:szCs w:val="30"/>
        </w:rPr>
        <w:t>游戏购买方式说明</w:t>
      </w:r>
    </w:p>
    <w:bookmarkEnd w:id="0"/>
    <w:p w14:paraId="63B32ED2">
      <w:pPr>
        <w:tabs>
          <w:tab w:val="left" w:pos="8364"/>
        </w:tabs>
        <w:spacing w:line="360" w:lineRule="auto"/>
        <w:ind w:firstLine="602" w:firstLineChars="200"/>
        <w:jc w:val="center"/>
        <w:rPr>
          <w:rFonts w:hint="eastAsia" w:ascii="仿宋" w:hAnsi="仿宋" w:eastAsia="仿宋" w:cs="Times New Roman"/>
          <w:b/>
          <w:snapToGrid w:val="0"/>
          <w:kern w:val="0"/>
          <w:sz w:val="30"/>
          <w:szCs w:val="30"/>
        </w:rPr>
      </w:pPr>
    </w:p>
    <w:p w14:paraId="302F0857">
      <w:pPr>
        <w:ind w:firstLine="600" w:firstLineChars="200"/>
        <w:rPr>
          <w:rFonts w:hint="eastAsia" w:ascii="仿宋" w:hAnsi="仿宋" w:eastAsia="仿宋"/>
          <w:sz w:val="30"/>
          <w:szCs w:val="30"/>
        </w:rPr>
      </w:pPr>
      <w:r>
        <w:rPr>
          <w:rFonts w:hint="eastAsia" w:ascii="仿宋" w:hAnsi="仿宋" w:eastAsia="仿宋"/>
          <w:sz w:val="30"/>
          <w:szCs w:val="30"/>
        </w:rPr>
        <w:t>前区组合复式：是指购彩者可对前六位符合一定形态规则的投注号码组合进行多注投注。（票面标明“前区组合复式票”字样，前区形态、前区号码、后区号码等内容，并显示全部所选数字，不拆开显示单式号码）。</w:t>
      </w:r>
    </w:p>
    <w:p w14:paraId="175FB678">
      <w:pPr>
        <w:pStyle w:val="2"/>
        <w:shd w:val="clear" w:color="auto" w:fill="FFFFFF"/>
        <w:spacing w:before="0" w:beforeAutospacing="0" w:after="0" w:afterAutospacing="0"/>
        <w:ind w:firstLine="600" w:firstLineChars="200"/>
        <w:rPr>
          <w:rFonts w:hint="eastAsia" w:ascii="仿宋" w:hAnsi="仿宋" w:eastAsia="仿宋" w:cstheme="minorBidi"/>
          <w:kern w:val="2"/>
          <w:sz w:val="30"/>
          <w:szCs w:val="30"/>
        </w:rPr>
      </w:pPr>
      <w:r>
        <w:rPr>
          <w:rFonts w:hint="eastAsia" w:ascii="仿宋" w:hAnsi="仿宋" w:eastAsia="仿宋" w:cstheme="minorBidi"/>
          <w:kern w:val="2"/>
          <w:sz w:val="30"/>
          <w:szCs w:val="30"/>
        </w:rPr>
        <w:t>前区组合复式共设置10种形态规则，分别是六不同、二同、三同、两组二同、四同、三同二同、三组二同、五同、四同二同和两组三同。其中，六不同指前区的6个数字各不相同，例如123456；二同指前区的6个数字有2个相同并与其他4个各不相同，例如112345；三同指前区的6个数字有3个相同并与其他3个各不相同，例如111234；两组二同指前区的6个数字有两组2个相同并分别与其他2个各不相同，例如112234；四同指前区的6个数字有4个相同并与其他2个各不相同，例如111123；三同二同指前区的6个数字有3个相同、另外2个相同，并分别与剩余1个各不相同，例如111223；三组二同指前区的6位数字，有三组2个相同并彼此不同，例如112233；五同指前区的6位数字有5个相同并与剩余1个不相同，例如111112；四同二同指前区的6位数字有4个相同、另外2个相同并彼此不同，例如111122；两组三同指前区的6位数字有两组3个相同并彼此不同，例如111222。</w:t>
      </w:r>
    </w:p>
    <w:p w14:paraId="4DE7CA4C">
      <w:pPr>
        <w:pStyle w:val="2"/>
        <w:shd w:val="clear" w:color="auto" w:fill="FFFFFF"/>
        <w:spacing w:before="0" w:beforeAutospacing="0" w:after="0" w:afterAutospacing="0"/>
        <w:ind w:firstLine="600" w:firstLineChars="200"/>
        <w:rPr>
          <w:rFonts w:hint="eastAsia" w:ascii="仿宋" w:hAnsi="仿宋" w:eastAsia="仿宋" w:cstheme="minorBidi"/>
          <w:kern w:val="2"/>
          <w:sz w:val="30"/>
          <w:szCs w:val="30"/>
        </w:rPr>
      </w:pPr>
      <w:r>
        <w:rPr>
          <w:rFonts w:hint="eastAsia" w:ascii="仿宋" w:hAnsi="仿宋" w:eastAsia="仿宋" w:cstheme="minorBidi"/>
          <w:kern w:val="2"/>
          <w:sz w:val="30"/>
          <w:szCs w:val="30"/>
        </w:rPr>
        <w:t>前区组合复式分为基本投注和包号投注，基本投注是指在投注时根据形态要求从0-9中选择一个6位数字进行投注，需确定重复数字。包号投注是指在投注时根据形态要求从0-9中选择2-5个不同数字进行投注，无需确定重复数字。</w:t>
      </w:r>
    </w:p>
    <w:p w14:paraId="5048A1FF">
      <w:pPr>
        <w:pStyle w:val="2"/>
        <w:shd w:val="clear" w:color="auto" w:fill="FFFFFF"/>
        <w:spacing w:before="0" w:beforeAutospacing="0" w:after="0" w:afterAutospacing="0"/>
        <w:ind w:firstLine="600" w:firstLineChars="200"/>
        <w:rPr>
          <w:rFonts w:hint="eastAsia" w:ascii="仿宋" w:hAnsi="仿宋" w:eastAsia="仿宋" w:cstheme="minorBidi"/>
          <w:kern w:val="2"/>
          <w:sz w:val="30"/>
          <w:szCs w:val="30"/>
        </w:rPr>
      </w:pPr>
      <w:r>
        <w:rPr>
          <w:rFonts w:hint="eastAsia" w:ascii="仿宋" w:hAnsi="仿宋" w:eastAsia="仿宋" w:cstheme="minorBidi"/>
          <w:kern w:val="2"/>
          <w:sz w:val="30"/>
          <w:szCs w:val="30"/>
        </w:rPr>
        <w:t>选择指定形态后，前区无需考虑位置，选择号码组成投注内容，因满足该形态的不同位置编排会产生不同的投注号码，因此会产生多注投注组合，在基本投注的基础上选择包号投注，将进一步增加投注号码的组合数量。</w:t>
      </w:r>
    </w:p>
    <w:p w14:paraId="772C4668">
      <w:pPr>
        <w:pStyle w:val="2"/>
        <w:shd w:val="clear" w:color="auto" w:fill="FFFFFF"/>
        <w:spacing w:before="0" w:beforeAutospacing="0"/>
        <w:jc w:val="left"/>
        <w:rPr>
          <w:rFonts w:hint="eastAsia" w:ascii="微软雅黑" w:hAnsi="微软雅黑" w:eastAsia="微软雅黑" w:cs="微软雅黑"/>
          <w:snapToGrid w:val="0"/>
          <w:sz w:val="24"/>
          <w:szCs w:val="24"/>
          <w:highlight w:val="none"/>
        </w:rPr>
      </w:pPr>
    </w:p>
    <w:p w14:paraId="29609017">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D249F"/>
    <w:rsid w:val="0B8D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2025-06-30T06:24:00Z</dcterms:created>
  <dc:creator>王宝奇(菟)</dc:creator>
  <cp:lastModifiedBy>王宝奇(菟)</cp:lastModifiedBy>
  <dcterms:modified xsi:type="dcterms:W3CDTF">2025-06-30T06:28:10Z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3B14EE46C81A4C26B82CCBB7F9C5D3A5_11</vt:lpwstr>
  </property>
</Properties>
</file>