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10010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  <w:t>附3：南昌分中心邀约告知书（体彩专营店使用）</w:t>
      </w:r>
    </w:p>
    <w:bookmarkEnd w:id="0"/>
    <w:p w14:paraId="15BE4DA7">
      <w:pPr>
        <w:pStyle w:val="2"/>
        <w:bidi w:val="0"/>
        <w:spacing w:before="0" w:beforeLines="0" w:beforeAutospacing="0" w:after="0" w:afterLines="0" w:afterAutospacing="0" w:line="240" w:lineRule="auto"/>
        <w:jc w:val="center"/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  <w:t>江西省体育彩票管理中心南昌分中心</w:t>
      </w:r>
    </w:p>
    <w:p w14:paraId="282F0811">
      <w:pPr>
        <w:pStyle w:val="2"/>
        <w:bidi w:val="0"/>
        <w:spacing w:before="0" w:beforeLines="0" w:beforeAutospacing="0" w:after="0" w:line="240" w:lineRule="auto"/>
        <w:jc w:val="center"/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  <w:t>新增邀约告知书</w:t>
      </w:r>
    </w:p>
    <w:p w14:paraId="387859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邀约人：</w:t>
      </w:r>
    </w:p>
    <w:p w14:paraId="49E911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根据江西省体育彩票管理中心渠道政策相关文件，结合南昌分中心实际情况，特此告知如下：</w:t>
      </w:r>
    </w:p>
    <w:p w14:paraId="706793A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根据省中心2025年渠道政策相关制度，以及《南昌分中心2025年渠道发展方案》相关要求，南昌分中心2025年原则上只增设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体彩专营门店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；</w:t>
      </w:r>
    </w:p>
    <w:p w14:paraId="1FE9D8A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根据《江西省体育彩票竞彩游戏销售权限管理暂行办法》（赣体彩办字〔2025〕39号）相关规定，以及《南昌分中心2025年传统渠道竞彩资源动态调整管理办法(暂行)》相关条款要求：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新增体彩专营门店须经营满一个月以上、每月基础产品（大乐透+排列型+7星彩）销量不低于20000元(含)，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实际经营面积须达到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15平方米(含)以上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，门店形象建设符合省中心标准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，才能纳入竞彩权限申请排位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;</w:t>
      </w:r>
    </w:p>
    <w:p w14:paraId="05E20E2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新增门店必须通过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南昌分中心系统培训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后，才能申报开通；</w:t>
      </w:r>
    </w:p>
    <w:p w14:paraId="7ABBF9D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新开通竞彩玩法的门店，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3个月后(含新增当月)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纳入分中心竞彩调整范围；</w:t>
      </w:r>
    </w:p>
    <w:p w14:paraId="1DF26FA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1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完成押金递交和合同签订，并由分中心审批同意可建设，邀约人须自行联系公司进行门店建设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，建设结果必须符合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《江西体彩门店形象建设指导手册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》要求，验收合格后才能开通；</w:t>
      </w:r>
    </w:p>
    <w:p w14:paraId="356AEF1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1" w:firstLineChars="15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新增彩票专营门店不申请竞彩权限；</w:t>
      </w:r>
    </w:p>
    <w:p w14:paraId="1796292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由于市场实际情况，体育彩票经营可能存在不盈利风险，门店经营亏损风险由代销者自负。</w:t>
      </w:r>
    </w:p>
    <w:p w14:paraId="75DA85E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1" w:firstLineChars="15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体彩资金全部通过银行系统和对公账户处理，体彩中心不存在个人账户或现金资金对接业务。</w:t>
      </w:r>
    </w:p>
    <w:p w14:paraId="4D293330">
      <w:pPr>
        <w:keepNext w:val="0"/>
        <w:keepLines w:val="0"/>
        <w:pageBreakBefore w:val="0"/>
        <w:widowControl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代销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者须</w:t>
      </w:r>
      <w:r>
        <w:rPr>
          <w:rFonts w:hint="eastAsia" w:ascii="楷体" w:hAnsi="楷体" w:eastAsia="楷体" w:cs="楷体"/>
          <w:sz w:val="24"/>
          <w:szCs w:val="24"/>
        </w:rPr>
        <w:t>手抄以下事项：</w:t>
      </w:r>
    </w:p>
    <w:p w14:paraId="55CAD39F">
      <w:pPr>
        <w:keepNext w:val="0"/>
        <w:keepLines w:val="0"/>
        <w:pageBreakBefore w:val="0"/>
        <w:widowControl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楷体" w:hAnsi="楷体" w:eastAsia="楷体" w:cs="楷体"/>
          <w:i/>
          <w:i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代销者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声明：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南昌分中心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已依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规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向本人提示了相关条款，应本人要求对相关条款的概念、内容做了充分告知、说明与解释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val="en-US" w:eastAsia="zh-CN"/>
        </w:rPr>
        <w:t>本人完全知晓理解相关条款内容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。</w:t>
      </w:r>
    </w:p>
    <w:p w14:paraId="057516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</w:t>
      </w:r>
    </w:p>
    <w:p w14:paraId="468B24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</w:t>
      </w:r>
    </w:p>
    <w:p w14:paraId="6B0E78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邀约人签字：                                    专管员签字：        </w:t>
      </w:r>
    </w:p>
    <w:p w14:paraId="6EDE54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时间：                                                  时间：        </w:t>
      </w:r>
    </w:p>
    <w:p w14:paraId="6D3B45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片区副主任签字：        </w:t>
      </w:r>
    </w:p>
    <w:p w14:paraId="6A60CECA">
      <w:pPr>
        <w:ind w:firstLine="720" w:firstLineChars="300"/>
        <w:jc w:val="left"/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时间：</w:t>
      </w:r>
    </w:p>
    <w:sectPr>
      <w:pgSz w:w="11906" w:h="16838"/>
      <w:pgMar w:top="1020" w:right="1800" w:bottom="11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BD6069-335A-4E0B-929F-C2FE1CF9CC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D0E1B5-6E22-4A34-BACC-ACC019E5D6DB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05AE5D-FD6E-487A-AE11-42B1684887D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496C0"/>
    <w:multiLevelType w:val="singleLevel"/>
    <w:tmpl w:val="DAE496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158F"/>
    <w:rsid w:val="0B67158F"/>
    <w:rsid w:val="14827D32"/>
    <w:rsid w:val="771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2025-07-31T02:29:00Z</dcterms:created>
  <dc:creator>王宝奇(菟)</dc:creator>
  <cp:lastModifiedBy>王宝奇(菟)</cp:lastModifiedBy>
  <dcterms:modified xsi:type="dcterms:W3CDTF">2025-07-31T02:32:33Z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A7125A70D7F44EEE9508D2B2586C16D4_13</vt:lpwstr>
  </property>
</Properties>
</file>